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319" w:rsidRDefault="000F0319" w:rsidP="000F0319">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OCTAVA </w:t>
      </w:r>
      <w:r w:rsidRPr="0007653D">
        <w:rPr>
          <w:rFonts w:ascii="Palatino Linotype" w:hAnsi="Palatino Linotype" w:cs="Arial"/>
          <w:b/>
        </w:rPr>
        <w:t xml:space="preserve">SESIÓN ORDINARIA DE </w:t>
      </w:r>
      <w:r>
        <w:rPr>
          <w:rFonts w:ascii="Palatino Linotype" w:hAnsi="Palatino Linotype" w:cs="Arial"/>
          <w:b/>
        </w:rPr>
        <w:t>VEINTISIETE DE FEBRERO DE DOS MIL DIECINUEVE</w:t>
      </w:r>
      <w:r w:rsidRPr="0007653D">
        <w:rPr>
          <w:rFonts w:ascii="Palatino Linotype" w:hAnsi="Palatino Linotype" w:cs="Arial"/>
          <w:b/>
        </w:rPr>
        <w:t>, EN EL RECURSO DE REVISIÓN 0</w:t>
      </w:r>
      <w:r>
        <w:rPr>
          <w:rFonts w:ascii="Palatino Linotype" w:hAnsi="Palatino Linotype" w:cs="Arial"/>
          <w:b/>
        </w:rPr>
        <w:t>4605/INFOEM/IP/RR/2018</w:t>
      </w:r>
      <w:r w:rsidRPr="00E42755">
        <w:rPr>
          <w:rFonts w:ascii="Palatino Linotype" w:eastAsia="Calibri" w:hAnsi="Palatino Linotype" w:cs="Arial"/>
          <w:b/>
          <w:color w:val="000000"/>
        </w:rPr>
        <w:t>.</w:t>
      </w:r>
    </w:p>
    <w:p w:rsidR="000F0319" w:rsidRDefault="000F0319" w:rsidP="000F0319">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4605/</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 xml:space="preserve">la </w:t>
      </w:r>
      <w:r w:rsidRPr="00E42755">
        <w:rPr>
          <w:rFonts w:ascii="Palatino Linotype" w:hAnsi="Palatino Linotype" w:cs="Arial"/>
        </w:rPr>
        <w:t>Comisionad</w:t>
      </w:r>
      <w:r>
        <w:rPr>
          <w:rFonts w:ascii="Palatino Linotype" w:hAnsi="Palatino Linotype" w:cs="Arial"/>
        </w:rPr>
        <w:t xml:space="preserve">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0F0319" w:rsidRDefault="000F0319" w:rsidP="000F0319">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sin embargo,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su entrega.</w:t>
      </w:r>
    </w:p>
    <w:p w:rsidR="000F0319" w:rsidRDefault="000F0319" w:rsidP="000F0319">
      <w:pPr>
        <w:pStyle w:val="Prrafodelista"/>
        <w:autoSpaceDE w:val="0"/>
        <w:autoSpaceDN w:val="0"/>
        <w:adjustRightInd w:val="0"/>
        <w:spacing w:before="100" w:beforeAutospacing="1" w:after="100" w:afterAutospacing="1" w:line="360" w:lineRule="auto"/>
        <w:ind w:left="0"/>
        <w:contextualSpacing w:val="0"/>
        <w:jc w:val="both"/>
        <w:rPr>
          <w:rFonts w:ascii="Palatino Linotype" w:hAnsi="Palatino Linotype"/>
        </w:rPr>
      </w:pPr>
      <w:r>
        <w:rPr>
          <w:rFonts w:ascii="Palatino Linotype" w:hAnsi="Palatino Linotype"/>
        </w:rPr>
        <w:t>T</w:t>
      </w:r>
      <w:r w:rsidRPr="00D93A88">
        <w:rPr>
          <w:rFonts w:ascii="Palatino Linotype" w:hAnsi="Palatino Linotype"/>
        </w:rPr>
        <w:t>al y como quedó debidamente asentado en la resolución materia del</w:t>
      </w:r>
      <w:r>
        <w:rPr>
          <w:rFonts w:ascii="Palatino Linotype" w:hAnsi="Palatino Linotype"/>
        </w:rPr>
        <w:t xml:space="preserve"> presente voto, el </w:t>
      </w:r>
      <w:r w:rsidRPr="00D93A88">
        <w:rPr>
          <w:rFonts w:ascii="Palatino Linotype" w:hAnsi="Palatino Linotype"/>
        </w:rPr>
        <w:t xml:space="preserve">particular </w:t>
      </w:r>
      <w:r>
        <w:rPr>
          <w:rFonts w:ascii="Palatino Linotype" w:hAnsi="Palatino Linotype"/>
        </w:rPr>
        <w:t xml:space="preserve">requirió al </w:t>
      </w:r>
      <w:r>
        <w:rPr>
          <w:rFonts w:ascii="Palatino Linotype" w:hAnsi="Palatino Linotype"/>
          <w:b/>
        </w:rPr>
        <w:t xml:space="preserve">Ayuntamiento de </w:t>
      </w:r>
      <w:proofErr w:type="spellStart"/>
      <w:r>
        <w:rPr>
          <w:rFonts w:ascii="Palatino Linotype" w:hAnsi="Palatino Linotype"/>
          <w:b/>
        </w:rPr>
        <w:t>Temamatla</w:t>
      </w:r>
      <w:proofErr w:type="spellEnd"/>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conocer si realizaba donaciones de libros </w:t>
      </w:r>
      <w:r w:rsidRPr="00AE32A8">
        <w:rPr>
          <w:rFonts w:ascii="Palatino Linotype" w:hAnsi="Palatino Linotype" w:cs="Tahoma"/>
          <w:bCs/>
        </w:rPr>
        <w:t xml:space="preserve">y/o publicaciones, material auditivo, visual, gráfico y/o cualquier otro que pudiere pertenecer al acervo </w:t>
      </w:r>
      <w:r w:rsidRPr="00AE32A8">
        <w:rPr>
          <w:rFonts w:ascii="Palatino Linotype" w:hAnsi="Palatino Linotype" w:cs="Tahoma"/>
          <w:bCs/>
        </w:rPr>
        <w:lastRenderedPageBreak/>
        <w:t>bibliográfico de una biblioteca</w:t>
      </w:r>
      <w:r>
        <w:rPr>
          <w:rFonts w:ascii="Palatino Linotype" w:hAnsi="Palatino Linotype" w:cs="Tahoma"/>
          <w:bCs/>
        </w:rPr>
        <w:t>, ya sea material propio, inédito o de coedición, el procedimiento para realizarlas y el nombre del servidor público al que deben dirigirse las solicitudes de donación; así como, de libros que llegaran a tener en excedente y finalmente solicitó saber si el Ayuntamiento contaba con sello editorial propio.</w:t>
      </w:r>
    </w:p>
    <w:p w:rsidR="000F0319" w:rsidRDefault="000F0319" w:rsidP="000F031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fue omiso en dar trámite y la respectiva respuesta a la solicitud de información que le fuera planteada por el particular.</w:t>
      </w:r>
    </w:p>
    <w:p w:rsidR="004C240F" w:rsidRPr="0012714E" w:rsidRDefault="004C240F" w:rsidP="004C240F">
      <w:pPr>
        <w:spacing w:before="100" w:beforeAutospacing="1" w:after="100" w:afterAutospacing="1" w:line="360" w:lineRule="auto"/>
        <w:jc w:val="both"/>
        <w:rPr>
          <w:rFonts w:ascii="Palatino Linotype" w:hAnsi="Palatino Linotype" w:cs="Arial"/>
          <w:b/>
        </w:rPr>
      </w:pPr>
      <w:r>
        <w:rPr>
          <w:rFonts w:ascii="Palatino Linotype" w:hAnsi="Palatino Linotype"/>
          <w:color w:val="000000"/>
          <w:lang w:val="es-MX" w:eastAsia="es-MX"/>
        </w:rPr>
        <w:t xml:space="preserve">Inconforme con la falta de respuesta del </w:t>
      </w:r>
      <w:r>
        <w:rPr>
          <w:rFonts w:ascii="Palatino Linotype" w:hAnsi="Palatino Linotype"/>
          <w:b/>
          <w:color w:val="000000"/>
          <w:lang w:val="es-MX" w:eastAsia="es-MX"/>
        </w:rPr>
        <w:t xml:space="preserve">SUJETO OBLIGADO </w:t>
      </w:r>
      <w:r>
        <w:rPr>
          <w:rFonts w:ascii="Palatino Linotype" w:hAnsi="Palatino Linotype"/>
          <w:color w:val="000000"/>
          <w:lang w:val="es-MX" w:eastAsia="es-MX"/>
        </w:rPr>
        <w:t xml:space="preserve">a la solicitud de acceso a la información, el hoy </w:t>
      </w:r>
      <w:r>
        <w:rPr>
          <w:rFonts w:ascii="Palatino Linotype" w:hAnsi="Palatino Linotype"/>
          <w:b/>
          <w:color w:val="000000"/>
          <w:lang w:val="es-MX" w:eastAsia="es-MX"/>
        </w:rPr>
        <w:t xml:space="preserve">RECURRENTE </w:t>
      </w:r>
      <w:r>
        <w:rPr>
          <w:rFonts w:ascii="Palatino Linotype" w:hAnsi="Palatino Linotype"/>
          <w:color w:val="000000"/>
          <w:lang w:val="es-MX" w:eastAsia="es-MX"/>
        </w:rPr>
        <w:t xml:space="preserve">interpuso el </w:t>
      </w:r>
      <w:r>
        <w:rPr>
          <w:rFonts w:ascii="Palatino Linotype" w:hAnsi="Palatino Linotype" w:cs="Arial"/>
        </w:rPr>
        <w:t xml:space="preserve">recurso de revisión de mérito, en el que medularmente se inconformó por la omisión del </w:t>
      </w:r>
      <w:r>
        <w:rPr>
          <w:rFonts w:ascii="Palatino Linotype" w:hAnsi="Palatino Linotype" w:cs="Arial"/>
          <w:b/>
        </w:rPr>
        <w:t xml:space="preserve">SUJETO OBLIGADO </w:t>
      </w:r>
      <w:r>
        <w:rPr>
          <w:rFonts w:ascii="Palatino Linotype" w:hAnsi="Palatino Linotype" w:cs="Arial"/>
        </w:rPr>
        <w:t>dentro del término legal previsto para ello.</w:t>
      </w:r>
    </w:p>
    <w:p w:rsidR="000F0319" w:rsidRDefault="000F0319" w:rsidP="000F0319">
      <w:pPr>
        <w:spacing w:before="100" w:beforeAutospacing="1" w:after="100" w:afterAutospacing="1" w:line="360" w:lineRule="auto"/>
        <w:jc w:val="both"/>
        <w:rPr>
          <w:rFonts w:ascii="Palatino Linotype" w:hAnsi="Palatino Linotype" w:cs="Arial"/>
        </w:rPr>
      </w:pPr>
      <w:r>
        <w:rPr>
          <w:rFonts w:ascii="Palatino Linotype" w:hAnsi="Palatino Linotype" w:cs="Arial"/>
        </w:rPr>
        <w:t>Así, una vez admitido el medio de impugnación materia del presente voto, se advierte de las constancias que obran en el expedi</w:t>
      </w:r>
      <w:r w:rsidR="004C240F">
        <w:rPr>
          <w:rFonts w:ascii="Palatino Linotype" w:hAnsi="Palatino Linotype" w:cs="Arial"/>
        </w:rPr>
        <w:t>ente electrónico del SAIMEX que</w:t>
      </w:r>
      <w:r>
        <w:rPr>
          <w:rFonts w:ascii="Palatino Linotype" w:hAnsi="Palatino Linotype" w:cs="Arial"/>
        </w:rPr>
        <w:t xml:space="preserve"> </w:t>
      </w:r>
      <w:r>
        <w:rPr>
          <w:rFonts w:ascii="Palatino Linotype" w:hAnsi="Palatino Linotype" w:cs="Arial"/>
          <w:b/>
        </w:rPr>
        <w:t xml:space="preserve">EL SUJETO OBLIGADO </w:t>
      </w:r>
      <w:r w:rsidR="004C240F">
        <w:rPr>
          <w:rFonts w:ascii="Palatino Linotype" w:hAnsi="Palatino Linotype" w:cs="Arial"/>
        </w:rPr>
        <w:t>no rindió</w:t>
      </w:r>
      <w:r>
        <w:rPr>
          <w:rFonts w:ascii="Palatino Linotype" w:hAnsi="Palatino Linotype" w:cs="Arial"/>
        </w:rPr>
        <w:t xml:space="preserve"> el Informe Justificado correspondiente.</w:t>
      </w:r>
    </w:p>
    <w:p w:rsidR="006D2CAC" w:rsidRDefault="000F0319" w:rsidP="006D2CAC">
      <w:pPr>
        <w:pStyle w:val="Prrafodelista"/>
        <w:spacing w:line="360" w:lineRule="auto"/>
        <w:ind w:left="0"/>
        <w:jc w:val="both"/>
        <w:rPr>
          <w:rFonts w:ascii="Palatino Linotype" w:hAnsi="Palatino Linotype"/>
          <w:color w:val="222222"/>
          <w:lang w:eastAsia="es-MX"/>
        </w:rPr>
      </w:pPr>
      <w:r>
        <w:rPr>
          <w:rFonts w:ascii="Palatino Linotype" w:hAnsi="Palatino Linotype" w:cs="Arial"/>
        </w:rPr>
        <w:t>Luego, del estudio al</w:t>
      </w:r>
      <w:r>
        <w:rPr>
          <w:rFonts w:ascii="Palatino Linotype" w:hAnsi="Palatino Linotype"/>
        </w:rPr>
        <w:t xml:space="preserve"> </w:t>
      </w:r>
      <w:r w:rsidRPr="00A01905">
        <w:rPr>
          <w:rFonts w:ascii="Palatino Linotype" w:hAnsi="Palatino Linotype"/>
        </w:rPr>
        <w:t>expediente electrónico</w:t>
      </w:r>
      <w:r>
        <w:rPr>
          <w:rFonts w:ascii="Palatino Linotype" w:hAnsi="Palatino Linotype"/>
        </w:rPr>
        <w:t xml:space="preserve"> que obra en el SAIMEX</w:t>
      </w:r>
      <w:r>
        <w:rPr>
          <w:rFonts w:ascii="Palatino Linotype" w:hAnsi="Palatino Linotype" w:cs="Arial"/>
        </w:rPr>
        <w:t xml:space="preserve"> la Ponencia Resolutora determinó </w:t>
      </w:r>
      <w:r>
        <w:rPr>
          <w:rFonts w:ascii="Palatino Linotype" w:hAnsi="Palatino Linotype" w:cs="Arial"/>
          <w:b/>
        </w:rPr>
        <w:t xml:space="preserve">ORDENAR </w:t>
      </w:r>
      <w:r>
        <w:rPr>
          <w:rFonts w:ascii="Palatino Linotype" w:hAnsi="Palatino Linotype" w:cs="Arial"/>
        </w:rPr>
        <w:t xml:space="preserve">al </w:t>
      </w:r>
      <w:r>
        <w:rPr>
          <w:rFonts w:ascii="Palatino Linotype" w:hAnsi="Palatino Linotype" w:cs="Arial"/>
          <w:b/>
        </w:rPr>
        <w:t xml:space="preserve">SUJETO OBLIGADO </w:t>
      </w:r>
      <w:r w:rsidR="006D2CAC">
        <w:rPr>
          <w:rFonts w:ascii="Palatino Linotype" w:hAnsi="Palatino Linotype" w:cs="Arial"/>
        </w:rPr>
        <w:t xml:space="preserve">haga entrega </w:t>
      </w:r>
      <w:r w:rsidR="006D2CAC" w:rsidRPr="00DE3671">
        <w:rPr>
          <w:rFonts w:ascii="Palatino Linotype" w:hAnsi="Palatino Linotype" w:cs="Arial"/>
        </w:rPr>
        <w:t>previa búsqueda exhaustiva y razonable</w:t>
      </w:r>
      <w:r w:rsidR="006D2CAC">
        <w:rPr>
          <w:rFonts w:ascii="Palatino Linotype" w:hAnsi="Palatino Linotype" w:cs="Arial"/>
        </w:rPr>
        <w:t xml:space="preserve"> </w:t>
      </w:r>
      <w:r w:rsidR="006D2CAC" w:rsidRPr="00DE3671">
        <w:rPr>
          <w:rFonts w:ascii="Palatino Linotype" w:hAnsi="Palatino Linotype" w:cs="Arial"/>
        </w:rPr>
        <w:t>vía Sistema de Acceso a la información Mexiquense (SAIMEX),</w:t>
      </w:r>
      <w:r w:rsidR="006D2CAC">
        <w:rPr>
          <w:rFonts w:ascii="Palatino Linotype" w:hAnsi="Palatino Linotype" w:cs="Arial"/>
        </w:rPr>
        <w:t xml:space="preserve"> </w:t>
      </w:r>
      <w:r w:rsidR="006D2CAC" w:rsidRPr="00DB3961">
        <w:rPr>
          <w:rFonts w:ascii="Palatino Linotype" w:hAnsi="Palatino Linotype"/>
          <w:color w:val="222222"/>
          <w:lang w:eastAsia="es-MX"/>
        </w:rPr>
        <w:t xml:space="preserve">del documento o documentos en donde conste </w:t>
      </w:r>
      <w:r w:rsidR="006D2CAC">
        <w:rPr>
          <w:rFonts w:ascii="Palatino Linotype" w:hAnsi="Palatino Linotype"/>
          <w:color w:val="222222"/>
          <w:lang w:eastAsia="es-MX"/>
        </w:rPr>
        <w:t xml:space="preserve">a la fecha de la solicitud, </w:t>
      </w:r>
      <w:r w:rsidR="006D2CAC" w:rsidRPr="00DB3961">
        <w:rPr>
          <w:rFonts w:ascii="Palatino Linotype" w:hAnsi="Palatino Linotype"/>
          <w:color w:val="222222"/>
          <w:lang w:eastAsia="es-MX"/>
        </w:rPr>
        <w:t>lo siguiente:</w:t>
      </w:r>
    </w:p>
    <w:p w:rsidR="006D2CAC" w:rsidRDefault="006D2CAC" w:rsidP="006D2CAC">
      <w:pPr>
        <w:pStyle w:val="Prrafodelista"/>
        <w:numPr>
          <w:ilvl w:val="0"/>
          <w:numId w:val="3"/>
        </w:numPr>
        <w:ind w:left="1276" w:right="899" w:hanging="357"/>
        <w:contextualSpacing w:val="0"/>
        <w:jc w:val="both"/>
        <w:rPr>
          <w:rFonts w:ascii="Palatino Linotype" w:hAnsi="Palatino Linotype"/>
          <w:i/>
          <w:sz w:val="22"/>
          <w:szCs w:val="22"/>
        </w:rPr>
      </w:pPr>
      <w:r w:rsidRPr="006D2CAC">
        <w:rPr>
          <w:rFonts w:ascii="Palatino Linotype" w:hAnsi="Palatino Linotype"/>
          <w:i/>
          <w:sz w:val="22"/>
          <w:szCs w:val="22"/>
        </w:rPr>
        <w:lastRenderedPageBreak/>
        <w:t xml:space="preserve">Documento en el que conste el procedimiento que el Ayuntamiento de </w:t>
      </w:r>
      <w:proofErr w:type="spellStart"/>
      <w:r w:rsidRPr="006D2CAC">
        <w:rPr>
          <w:rFonts w:ascii="Palatino Linotype" w:hAnsi="Palatino Linotype"/>
          <w:i/>
          <w:sz w:val="22"/>
          <w:szCs w:val="22"/>
        </w:rPr>
        <w:t>Temamatla</w:t>
      </w:r>
      <w:proofErr w:type="spellEnd"/>
      <w:r w:rsidRPr="006D2CAC">
        <w:rPr>
          <w:rFonts w:ascii="Palatino Linotype" w:hAnsi="Palatino Linotype"/>
          <w:i/>
          <w:sz w:val="22"/>
          <w:szCs w:val="22"/>
        </w:rPr>
        <w:t xml:space="preserve"> lleva a cabo para realizar donaciones de versiones impresas de libros y/o publicaciones, material auditivo, visual, gráfico y cualquier otro tipo que pudiere pertenecer a su acervo, ya sea individualmente o en colaboración.</w:t>
      </w:r>
    </w:p>
    <w:p w:rsidR="006D2CAC" w:rsidRPr="006D2CAC" w:rsidRDefault="006D2CAC" w:rsidP="006D2CAC">
      <w:pPr>
        <w:pStyle w:val="Prrafodelista"/>
        <w:ind w:left="1276" w:right="899"/>
        <w:contextualSpacing w:val="0"/>
        <w:jc w:val="both"/>
        <w:rPr>
          <w:rFonts w:ascii="Palatino Linotype" w:hAnsi="Palatino Linotype"/>
          <w:i/>
          <w:sz w:val="22"/>
          <w:szCs w:val="22"/>
        </w:rPr>
      </w:pPr>
    </w:p>
    <w:p w:rsidR="006D2CAC" w:rsidRDefault="006D2CAC" w:rsidP="006D2CAC">
      <w:pPr>
        <w:pStyle w:val="Prrafodelista"/>
        <w:numPr>
          <w:ilvl w:val="0"/>
          <w:numId w:val="3"/>
        </w:numPr>
        <w:ind w:left="1276" w:right="899" w:hanging="357"/>
        <w:contextualSpacing w:val="0"/>
        <w:jc w:val="both"/>
        <w:rPr>
          <w:rFonts w:ascii="Palatino Linotype" w:hAnsi="Palatino Linotype"/>
          <w:i/>
          <w:sz w:val="22"/>
          <w:szCs w:val="22"/>
        </w:rPr>
      </w:pPr>
      <w:r w:rsidRPr="006D2CAC">
        <w:rPr>
          <w:rFonts w:ascii="Palatino Linotype" w:hAnsi="Palatino Linotype"/>
          <w:i/>
          <w:sz w:val="22"/>
          <w:szCs w:val="22"/>
        </w:rPr>
        <w:t>Documento en el que conste la existencia de material propio, inédito o de coedición y/o libros que llegaran a tener en excedente.</w:t>
      </w:r>
    </w:p>
    <w:p w:rsidR="006D2CAC" w:rsidRPr="006D2CAC" w:rsidRDefault="006D2CAC" w:rsidP="006D2CAC">
      <w:pPr>
        <w:pStyle w:val="Prrafodelista"/>
        <w:ind w:left="1276" w:right="899"/>
        <w:contextualSpacing w:val="0"/>
        <w:jc w:val="both"/>
        <w:rPr>
          <w:rFonts w:ascii="Palatino Linotype" w:hAnsi="Palatino Linotype"/>
          <w:i/>
          <w:sz w:val="22"/>
          <w:szCs w:val="22"/>
        </w:rPr>
      </w:pPr>
    </w:p>
    <w:p w:rsidR="006D2CAC" w:rsidRPr="006D2CAC" w:rsidRDefault="006D2CAC" w:rsidP="006D2CAC">
      <w:pPr>
        <w:pStyle w:val="Prrafodelista"/>
        <w:numPr>
          <w:ilvl w:val="0"/>
          <w:numId w:val="3"/>
        </w:numPr>
        <w:ind w:left="1276" w:right="899" w:hanging="357"/>
        <w:contextualSpacing w:val="0"/>
        <w:jc w:val="both"/>
        <w:rPr>
          <w:rFonts w:ascii="Palatino Linotype" w:hAnsi="Palatino Linotype"/>
          <w:i/>
          <w:sz w:val="22"/>
          <w:szCs w:val="22"/>
        </w:rPr>
      </w:pPr>
      <w:r w:rsidRPr="006D2CAC">
        <w:rPr>
          <w:rFonts w:ascii="Palatino Linotype" w:hAnsi="Palatino Linotype"/>
          <w:i/>
          <w:sz w:val="22"/>
          <w:szCs w:val="22"/>
        </w:rPr>
        <w:t xml:space="preserve">Documento en el que se establezca si el Ayuntamiento de </w:t>
      </w:r>
      <w:proofErr w:type="spellStart"/>
      <w:r w:rsidRPr="006D2CAC">
        <w:rPr>
          <w:rFonts w:ascii="Palatino Linotype" w:hAnsi="Palatino Linotype"/>
          <w:i/>
          <w:sz w:val="22"/>
          <w:szCs w:val="22"/>
        </w:rPr>
        <w:t>Temamatla</w:t>
      </w:r>
      <w:proofErr w:type="spellEnd"/>
      <w:r w:rsidRPr="006D2CAC">
        <w:rPr>
          <w:rFonts w:ascii="Palatino Linotype" w:hAnsi="Palatino Linotype"/>
          <w:i/>
          <w:sz w:val="22"/>
          <w:szCs w:val="22"/>
        </w:rPr>
        <w:t xml:space="preserve"> cuenta con un sello editorial propio.</w:t>
      </w:r>
    </w:p>
    <w:p w:rsidR="004C240F" w:rsidRDefault="000F0319" w:rsidP="004C240F">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E</w:t>
      </w:r>
      <w:r>
        <w:rPr>
          <w:rFonts w:ascii="Palatino Linotype" w:hAnsi="Palatino Linotype" w:cs="Arial"/>
          <w:lang w:val="es-MX"/>
        </w:rPr>
        <w:t>n ese sentido, la suscrita reitera, que si bien coincide</w:t>
      </w:r>
      <w:r w:rsidRPr="004F3DBF">
        <w:rPr>
          <w:rFonts w:ascii="Palatino Linotype" w:hAnsi="Palatino Linotype" w:cs="Arial"/>
          <w:lang w:val="es-MX"/>
        </w:rPr>
        <w:t xml:space="preserv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 xml:space="preserve">a que la Ponencia Resolutora no se pronuncie en estudio y resolutivos en relación con la temporalidad de la cual deberá hacerse entrega de la información y del procedimiento para acceder a las donaciones de </w:t>
      </w:r>
      <w:r>
        <w:rPr>
          <w:rFonts w:ascii="Palatino Linotype" w:hAnsi="Palatino Linotype"/>
        </w:rPr>
        <w:t xml:space="preserve">libros </w:t>
      </w:r>
      <w:r w:rsidRPr="00AE32A8">
        <w:rPr>
          <w:rFonts w:ascii="Palatino Linotype" w:hAnsi="Palatino Linotype" w:cs="Tahoma"/>
          <w:bCs/>
        </w:rPr>
        <w:t>y/o publicaciones, material auditivo, visual, gráfico y/o cualquier otro que pudiere pertenecer al acervo bibliográfico de una biblioteca</w:t>
      </w:r>
      <w:r w:rsidR="004C240F">
        <w:rPr>
          <w:rFonts w:ascii="Palatino Linotype" w:hAnsi="Palatino Linotype" w:cs="Tahoma"/>
          <w:bCs/>
        </w:rPr>
        <w:t xml:space="preserve"> y el nombre del servidor público al que deben dirigirse las solicitudes de donación.</w:t>
      </w:r>
    </w:p>
    <w:p w:rsidR="00401686" w:rsidRDefault="00401686" w:rsidP="00401686">
      <w:pPr>
        <w:autoSpaceDE w:val="0"/>
        <w:autoSpaceDN w:val="0"/>
        <w:adjustRightInd w:val="0"/>
        <w:spacing w:before="100" w:beforeAutospacing="1" w:after="100" w:afterAutospacing="1" w:line="360" w:lineRule="auto"/>
        <w:jc w:val="both"/>
        <w:rPr>
          <w:rFonts w:ascii="Palatino Linotype" w:hAnsi="Palatino Linotype" w:cs="Tahoma"/>
          <w:bCs/>
        </w:rPr>
      </w:pPr>
      <w:r>
        <w:rPr>
          <w:rFonts w:ascii="Palatino Linotype" w:hAnsi="Palatino Linotype" w:cs="Arial"/>
          <w:lang w:eastAsia="es-CO"/>
        </w:rPr>
        <w:t>Lo anterior debido a que,</w:t>
      </w:r>
      <w:r>
        <w:rPr>
          <w:rFonts w:ascii="Palatino Linotype" w:hAnsi="Palatino Linotype"/>
          <w:color w:val="000000"/>
        </w:rPr>
        <w:t xml:space="preserve"> como ya se ha hecho referencia en párrafos anteriores, el particular solicitó del </w:t>
      </w:r>
      <w:r>
        <w:rPr>
          <w:rFonts w:ascii="Palatino Linotype" w:hAnsi="Palatino Linotype"/>
          <w:b/>
          <w:color w:val="000000"/>
        </w:rPr>
        <w:t xml:space="preserve">SUJETO OBLIGADO </w:t>
      </w:r>
      <w:r>
        <w:rPr>
          <w:rFonts w:ascii="Palatino Linotype" w:hAnsi="Palatino Linotype"/>
          <w:color w:val="000000"/>
        </w:rPr>
        <w:t xml:space="preserve">le hiciera de su conocimiento el </w:t>
      </w:r>
      <w:r>
        <w:rPr>
          <w:rFonts w:ascii="Palatino Linotype" w:hAnsi="Palatino Linotype" w:cs="Arial"/>
          <w:lang w:val="es-MX"/>
        </w:rPr>
        <w:t xml:space="preserve">procedimiento para acceder a las donaciones de </w:t>
      </w:r>
      <w:r>
        <w:rPr>
          <w:rFonts w:ascii="Palatino Linotype" w:hAnsi="Palatino Linotype"/>
        </w:rPr>
        <w:t xml:space="preserve">libros </w:t>
      </w:r>
      <w:r w:rsidRPr="00AE32A8">
        <w:rPr>
          <w:rFonts w:ascii="Palatino Linotype" w:hAnsi="Palatino Linotype" w:cs="Tahoma"/>
          <w:bCs/>
        </w:rPr>
        <w:t xml:space="preserve">y/o material </w:t>
      </w:r>
      <w:r>
        <w:rPr>
          <w:rFonts w:ascii="Palatino Linotype" w:hAnsi="Palatino Linotype" w:cs="Tahoma"/>
          <w:bCs/>
        </w:rPr>
        <w:t>que pudiera</w:t>
      </w:r>
      <w:r w:rsidRPr="00AE32A8">
        <w:rPr>
          <w:rFonts w:ascii="Palatino Linotype" w:hAnsi="Palatino Linotype" w:cs="Tahoma"/>
          <w:bCs/>
        </w:rPr>
        <w:t xml:space="preserve"> pertenecer al acervo bibliográfico de una biblioteca</w:t>
      </w:r>
      <w:r w:rsidR="004C240F">
        <w:rPr>
          <w:rFonts w:ascii="Palatino Linotype" w:hAnsi="Palatino Linotype" w:cs="Tahoma"/>
          <w:bCs/>
        </w:rPr>
        <w:t>; sin embargo, no precisó</w:t>
      </w:r>
      <w:r>
        <w:rPr>
          <w:rFonts w:ascii="Palatino Linotype" w:hAnsi="Palatino Linotype" w:cs="Tahoma"/>
          <w:bCs/>
        </w:rPr>
        <w:t xml:space="preserve"> temporalidad respecto de la cual, necesitaba le fuera entregada dicha información; por lo que, a criterio de la suscrita, lo procedente era que, la Ponencia Resolutora en términos de los artículos 13 y 181, párrafo cuarto de la Ley de la materia, supliera dicha deficiencia y determinara que la entrega de la información correspondería a la fecha de presentación de la solicitud de información, es decir, al 14 de marzo de 2018.</w:t>
      </w:r>
    </w:p>
    <w:p w:rsidR="00401686" w:rsidRDefault="00401686" w:rsidP="00401686">
      <w:pPr>
        <w:autoSpaceDE w:val="0"/>
        <w:autoSpaceDN w:val="0"/>
        <w:adjustRightInd w:val="0"/>
        <w:spacing w:before="100" w:beforeAutospacing="1" w:after="100" w:afterAutospacing="1" w:line="360" w:lineRule="auto"/>
        <w:jc w:val="both"/>
        <w:rPr>
          <w:rFonts w:ascii="Palatino Linotype" w:hAnsi="Palatino Linotype" w:cs="Tahoma"/>
          <w:bCs/>
        </w:rPr>
      </w:pPr>
      <w:r>
        <w:rPr>
          <w:rFonts w:ascii="Palatino Linotype" w:hAnsi="Palatino Linotype" w:cs="Tahoma"/>
          <w:bCs/>
        </w:rPr>
        <w:lastRenderedPageBreak/>
        <w:t xml:space="preserve">Mientras que, en relación con el procedimiento para </w:t>
      </w:r>
      <w:r>
        <w:rPr>
          <w:rFonts w:ascii="Palatino Linotype" w:hAnsi="Palatino Linotype" w:cs="Arial"/>
          <w:lang w:val="es-MX"/>
        </w:rPr>
        <w:t xml:space="preserve">acceder a las donaciones de </w:t>
      </w:r>
      <w:r>
        <w:rPr>
          <w:rFonts w:ascii="Palatino Linotype" w:hAnsi="Palatino Linotype"/>
        </w:rPr>
        <w:t xml:space="preserve">libros </w:t>
      </w:r>
      <w:r w:rsidRPr="00AE32A8">
        <w:rPr>
          <w:rFonts w:ascii="Palatino Linotype" w:hAnsi="Palatino Linotype" w:cs="Tahoma"/>
          <w:bCs/>
        </w:rPr>
        <w:t xml:space="preserve">y/o material </w:t>
      </w:r>
      <w:r>
        <w:rPr>
          <w:rFonts w:ascii="Palatino Linotype" w:hAnsi="Palatino Linotype" w:cs="Tahoma"/>
          <w:bCs/>
        </w:rPr>
        <w:t>que pudiera</w:t>
      </w:r>
      <w:r w:rsidRPr="00AE32A8">
        <w:rPr>
          <w:rFonts w:ascii="Palatino Linotype" w:hAnsi="Palatino Linotype" w:cs="Tahoma"/>
          <w:bCs/>
        </w:rPr>
        <w:t xml:space="preserve"> pertenecer al acervo bibliográfico de una biblioteca</w:t>
      </w:r>
      <w:r>
        <w:rPr>
          <w:rFonts w:ascii="Palatino Linotype" w:hAnsi="Palatino Linotype" w:cs="Tahoma"/>
          <w:bCs/>
        </w:rPr>
        <w:t xml:space="preserve">, lo procedente era que la Ponencia Resolutora en estudio analizara de manera exhaustiva la solicitud de información, dada la negativa del </w:t>
      </w:r>
      <w:r>
        <w:rPr>
          <w:rFonts w:ascii="Palatino Linotype" w:hAnsi="Palatino Linotype" w:cs="Tahoma"/>
          <w:b/>
          <w:bCs/>
        </w:rPr>
        <w:t xml:space="preserve">SUJETO OBLIGADO </w:t>
      </w:r>
      <w:r>
        <w:rPr>
          <w:rFonts w:ascii="Palatino Linotype" w:hAnsi="Palatino Linotype" w:cs="Tahoma"/>
          <w:bCs/>
        </w:rPr>
        <w:t xml:space="preserve">para dar respuesta y en consecuencia establecer que los </w:t>
      </w:r>
      <w:r w:rsidRPr="00402466">
        <w:rPr>
          <w:rFonts w:ascii="Palatino Linotype" w:hAnsi="Palatino Linotype" w:cs="Tahoma"/>
          <w:bCs/>
        </w:rPr>
        <w:t>Lineamientos para el Registro y Control del Inventario y la Conciliación y Desincorporación de Bienes Muebles e Inmuebles para las Entidades Fiscalizables Municipales del Estado de México</w:t>
      </w:r>
      <w:r>
        <w:rPr>
          <w:rFonts w:ascii="Palatino Linotype" w:hAnsi="Palatino Linotype" w:cs="Tahoma"/>
          <w:bCs/>
        </w:rPr>
        <w:t>, tienen por objeto establecer disposiciones para el registro y control del inventario y la conciliación y desincorporación de bienes muebles para las entidades fiscalizables municipales, los cuales establecen en su Capítulo XXI, denominado “De los requisitos para la baja de bienes muebles”, Sección Cuarta mismo que para mayor referencia se inserta a continuación:</w:t>
      </w:r>
    </w:p>
    <w:p w:rsidR="00401686" w:rsidRPr="00BE4E40" w:rsidRDefault="00401686" w:rsidP="00401686">
      <w:pPr>
        <w:ind w:left="851" w:right="902"/>
        <w:jc w:val="center"/>
        <w:rPr>
          <w:rFonts w:ascii="Palatino Linotype" w:hAnsi="Palatino Linotype"/>
          <w:b/>
          <w:i/>
          <w:sz w:val="22"/>
          <w:szCs w:val="22"/>
        </w:rPr>
      </w:pPr>
      <w:r>
        <w:rPr>
          <w:rFonts w:ascii="Palatino Linotype" w:hAnsi="Palatino Linotype"/>
          <w:b/>
          <w:i/>
          <w:sz w:val="22"/>
          <w:szCs w:val="22"/>
        </w:rPr>
        <w:t>“</w:t>
      </w:r>
      <w:r w:rsidRPr="00BE4E40">
        <w:rPr>
          <w:rFonts w:ascii="Palatino Linotype" w:hAnsi="Palatino Linotype"/>
          <w:b/>
          <w:i/>
          <w:sz w:val="22"/>
          <w:szCs w:val="22"/>
        </w:rPr>
        <w:t xml:space="preserve">CAPÍTULO XXI </w:t>
      </w:r>
    </w:p>
    <w:p w:rsidR="00401686" w:rsidRPr="00BE4E40" w:rsidRDefault="00401686" w:rsidP="00401686">
      <w:pPr>
        <w:ind w:left="851" w:right="902"/>
        <w:jc w:val="center"/>
        <w:rPr>
          <w:rFonts w:ascii="Palatino Linotype" w:hAnsi="Palatino Linotype"/>
          <w:b/>
          <w:i/>
          <w:sz w:val="22"/>
          <w:szCs w:val="22"/>
        </w:rPr>
      </w:pPr>
      <w:r w:rsidRPr="00BE4E40">
        <w:rPr>
          <w:rFonts w:ascii="Palatino Linotype" w:hAnsi="Palatino Linotype"/>
          <w:b/>
          <w:i/>
          <w:sz w:val="22"/>
          <w:szCs w:val="22"/>
        </w:rPr>
        <w:t>DE LOS REQUISITOS PARA LA BAJA DE BIENES MUEBLES</w:t>
      </w:r>
    </w:p>
    <w:p w:rsidR="00401686" w:rsidRDefault="00401686" w:rsidP="00401686">
      <w:pPr>
        <w:ind w:left="851" w:right="902"/>
        <w:jc w:val="both"/>
        <w:rPr>
          <w:rFonts w:ascii="Palatino Linotype" w:hAnsi="Palatino Linotype"/>
          <w:i/>
          <w:sz w:val="22"/>
          <w:szCs w:val="22"/>
        </w:rPr>
      </w:pPr>
    </w:p>
    <w:p w:rsidR="00401686" w:rsidRDefault="00401686" w:rsidP="00401686">
      <w:pPr>
        <w:ind w:left="851" w:right="902"/>
        <w:jc w:val="both"/>
        <w:rPr>
          <w:rFonts w:ascii="Palatino Linotype" w:hAnsi="Palatino Linotype"/>
          <w:i/>
          <w:sz w:val="22"/>
          <w:szCs w:val="22"/>
        </w:rPr>
      </w:pPr>
      <w:r w:rsidRPr="00BE4E40">
        <w:rPr>
          <w:rFonts w:ascii="Palatino Linotype" w:hAnsi="Palatino Linotype"/>
          <w:b/>
          <w:i/>
          <w:sz w:val="22"/>
          <w:szCs w:val="22"/>
        </w:rPr>
        <w:t>SEXAGÉSIMO PRIMERO:</w:t>
      </w:r>
      <w:r w:rsidRPr="00BE4E40">
        <w:rPr>
          <w:rFonts w:ascii="Palatino Linotype" w:hAnsi="Palatino Linotype"/>
          <w:i/>
          <w:sz w:val="22"/>
          <w:szCs w:val="22"/>
        </w:rPr>
        <w:t xml:space="preserve"> Para realizar la baja de bienes muebles, la entidades fiscalizables elaborarán anualmente el programa anual para la disposición final de bienes muebles para lo cual es necesario integrar un expediente técnico que contenga la documentación relativa a la baja del bien mueble, mismo que deberá ser enviado por las entidades fiscalizables, al Órgano Superior para su análisis y revisión. </w:t>
      </w:r>
    </w:p>
    <w:p w:rsidR="00401686" w:rsidRDefault="00401686" w:rsidP="00401686">
      <w:pPr>
        <w:ind w:left="851" w:right="902"/>
        <w:jc w:val="center"/>
        <w:rPr>
          <w:rFonts w:ascii="Palatino Linotype" w:hAnsi="Palatino Linotype"/>
          <w:i/>
          <w:sz w:val="22"/>
          <w:szCs w:val="22"/>
        </w:rPr>
      </w:pPr>
    </w:p>
    <w:p w:rsidR="00401686" w:rsidRDefault="00401686" w:rsidP="00401686">
      <w:pPr>
        <w:ind w:left="851" w:right="902"/>
        <w:jc w:val="center"/>
        <w:rPr>
          <w:rFonts w:ascii="Palatino Linotype" w:hAnsi="Palatino Linotype"/>
          <w:b/>
          <w:i/>
          <w:sz w:val="22"/>
          <w:szCs w:val="22"/>
        </w:rPr>
      </w:pPr>
      <w:r w:rsidRPr="00BE4E40">
        <w:rPr>
          <w:rFonts w:ascii="Palatino Linotype" w:hAnsi="Palatino Linotype"/>
          <w:b/>
          <w:i/>
          <w:sz w:val="22"/>
          <w:szCs w:val="22"/>
        </w:rPr>
        <w:t xml:space="preserve">Sección </w:t>
      </w:r>
      <w:r>
        <w:rPr>
          <w:rFonts w:ascii="Palatino Linotype" w:hAnsi="Palatino Linotype"/>
          <w:b/>
          <w:i/>
          <w:sz w:val="22"/>
          <w:szCs w:val="22"/>
        </w:rPr>
        <w:t xml:space="preserve">Cuarta </w:t>
      </w:r>
    </w:p>
    <w:p w:rsidR="00401686" w:rsidRDefault="00401686" w:rsidP="00401686">
      <w:pPr>
        <w:ind w:left="851" w:right="902"/>
        <w:jc w:val="center"/>
        <w:rPr>
          <w:rFonts w:ascii="Palatino Linotype" w:hAnsi="Palatino Linotype"/>
          <w:i/>
          <w:sz w:val="22"/>
          <w:szCs w:val="22"/>
        </w:rPr>
      </w:pPr>
      <w:r w:rsidRPr="00BE4E40">
        <w:rPr>
          <w:rFonts w:ascii="Palatino Linotype" w:hAnsi="Palatino Linotype"/>
          <w:b/>
          <w:i/>
          <w:sz w:val="22"/>
          <w:szCs w:val="22"/>
        </w:rPr>
        <w:t>DE LOS BIENES MUEBLES POR DONACIÓN</w:t>
      </w:r>
    </w:p>
    <w:p w:rsidR="00401686" w:rsidRDefault="00401686" w:rsidP="00401686">
      <w:pPr>
        <w:ind w:left="851" w:right="902"/>
        <w:jc w:val="both"/>
        <w:rPr>
          <w:rFonts w:ascii="Palatino Linotype" w:hAnsi="Palatino Linotype"/>
          <w:i/>
          <w:sz w:val="22"/>
          <w:szCs w:val="22"/>
        </w:rPr>
      </w:pPr>
    </w:p>
    <w:p w:rsidR="00401686" w:rsidRPr="00BE4E40" w:rsidRDefault="00401686" w:rsidP="00401686">
      <w:pPr>
        <w:ind w:left="851" w:right="902"/>
        <w:jc w:val="both"/>
        <w:rPr>
          <w:rFonts w:ascii="Palatino Linotype" w:hAnsi="Palatino Linotype"/>
          <w:b/>
          <w:i/>
          <w:sz w:val="22"/>
          <w:szCs w:val="22"/>
        </w:rPr>
      </w:pPr>
      <w:r w:rsidRPr="00BE4E40">
        <w:rPr>
          <w:rFonts w:ascii="Palatino Linotype" w:hAnsi="Palatino Linotype"/>
          <w:b/>
          <w:i/>
          <w:sz w:val="22"/>
          <w:szCs w:val="22"/>
        </w:rPr>
        <w:t>SEXAGÉSIMO SÉPTIMO:</w:t>
      </w:r>
      <w:r w:rsidRPr="00BE4E40">
        <w:rPr>
          <w:rFonts w:ascii="Palatino Linotype" w:hAnsi="Palatino Linotype"/>
          <w:i/>
          <w:sz w:val="22"/>
          <w:szCs w:val="22"/>
        </w:rPr>
        <w:t xml:space="preserve"> </w:t>
      </w:r>
      <w:r w:rsidRPr="00BE4E40">
        <w:rPr>
          <w:rFonts w:ascii="Palatino Linotype" w:hAnsi="Palatino Linotype"/>
          <w:b/>
          <w:i/>
          <w:sz w:val="22"/>
          <w:szCs w:val="22"/>
        </w:rPr>
        <w:t xml:space="preserve">La baja por donación, es el acto mediante el cual la entidad fiscalizable, transfiere en forma gratuita, bienes muebles de su propiedad a una persona física o jurídica colectiva. </w:t>
      </w:r>
    </w:p>
    <w:p w:rsidR="00401686" w:rsidRDefault="00401686" w:rsidP="00401686">
      <w:pPr>
        <w:ind w:left="851" w:right="902"/>
        <w:jc w:val="both"/>
        <w:rPr>
          <w:rFonts w:ascii="Palatino Linotype" w:hAnsi="Palatino Linotype"/>
          <w:i/>
          <w:sz w:val="22"/>
          <w:szCs w:val="22"/>
        </w:rPr>
      </w:pPr>
    </w:p>
    <w:p w:rsidR="00401686" w:rsidRDefault="00401686" w:rsidP="00401686">
      <w:pPr>
        <w:ind w:left="851" w:right="902"/>
        <w:jc w:val="both"/>
        <w:rPr>
          <w:rFonts w:ascii="Palatino Linotype" w:hAnsi="Palatino Linotype"/>
          <w:i/>
          <w:sz w:val="22"/>
          <w:szCs w:val="22"/>
        </w:rPr>
      </w:pPr>
      <w:r w:rsidRPr="00BE4E40">
        <w:rPr>
          <w:rFonts w:ascii="Palatino Linotype" w:hAnsi="Palatino Linotype"/>
          <w:i/>
          <w:sz w:val="22"/>
          <w:szCs w:val="22"/>
        </w:rPr>
        <w:lastRenderedPageBreak/>
        <w:t xml:space="preserve">Los organismos descentralizados, pueden donar sus bienes que hayan cumplido con su vida útil. </w:t>
      </w:r>
    </w:p>
    <w:p w:rsidR="00401686" w:rsidRDefault="00401686" w:rsidP="00401686">
      <w:pPr>
        <w:ind w:left="851" w:right="902"/>
        <w:jc w:val="both"/>
        <w:rPr>
          <w:rFonts w:ascii="Palatino Linotype" w:hAnsi="Palatino Linotype"/>
          <w:i/>
          <w:sz w:val="22"/>
          <w:szCs w:val="22"/>
        </w:rPr>
      </w:pPr>
    </w:p>
    <w:p w:rsidR="00401686" w:rsidRPr="00BE4E40" w:rsidRDefault="00401686" w:rsidP="00401686">
      <w:pPr>
        <w:ind w:left="851" w:right="902"/>
        <w:jc w:val="both"/>
        <w:rPr>
          <w:rFonts w:ascii="Palatino Linotype" w:hAnsi="Palatino Linotype"/>
          <w:b/>
          <w:i/>
          <w:sz w:val="22"/>
          <w:szCs w:val="22"/>
        </w:rPr>
      </w:pPr>
      <w:r w:rsidRPr="00BE4E40">
        <w:rPr>
          <w:rFonts w:ascii="Palatino Linotype" w:hAnsi="Palatino Linotype"/>
          <w:b/>
          <w:i/>
          <w:sz w:val="22"/>
          <w:szCs w:val="22"/>
        </w:rPr>
        <w:t>SEXAGÉSIMO OCTAVO:</w:t>
      </w:r>
      <w:r w:rsidRPr="00BE4E40">
        <w:rPr>
          <w:rFonts w:ascii="Palatino Linotype" w:hAnsi="Palatino Linotype"/>
          <w:i/>
          <w:sz w:val="22"/>
          <w:szCs w:val="22"/>
        </w:rPr>
        <w:t xml:space="preserve"> Para dar de baja bienes muebles por donación, </w:t>
      </w:r>
      <w:r w:rsidRPr="00BE4E40">
        <w:rPr>
          <w:rFonts w:ascii="Palatino Linotype" w:hAnsi="Palatino Linotype"/>
          <w:b/>
          <w:i/>
          <w:sz w:val="22"/>
          <w:szCs w:val="22"/>
        </w:rPr>
        <w:t xml:space="preserve">se deberán satisfacer los siguientes requisitos: </w:t>
      </w:r>
    </w:p>
    <w:p w:rsidR="00401686" w:rsidRDefault="00401686" w:rsidP="00401686">
      <w:pPr>
        <w:ind w:left="851" w:right="902"/>
        <w:jc w:val="both"/>
        <w:rPr>
          <w:rFonts w:ascii="Palatino Linotype" w:hAnsi="Palatino Linotype"/>
          <w:i/>
          <w:sz w:val="22"/>
          <w:szCs w:val="22"/>
        </w:rPr>
      </w:pPr>
      <w:r w:rsidRPr="00BE4E40">
        <w:rPr>
          <w:rFonts w:ascii="Palatino Linotype" w:hAnsi="Palatino Linotype"/>
          <w:b/>
          <w:i/>
          <w:sz w:val="22"/>
          <w:szCs w:val="22"/>
        </w:rPr>
        <w:t>I. Petición escrita formulada por la persona física, o jurídica colectiva que solicite el o los bienes</w:t>
      </w:r>
      <w:r w:rsidRPr="00BE4E40">
        <w:rPr>
          <w:rFonts w:ascii="Palatino Linotype" w:hAnsi="Palatino Linotype"/>
          <w:i/>
          <w:sz w:val="22"/>
          <w:szCs w:val="22"/>
        </w:rPr>
        <w:t xml:space="preserve">, dirigida al titular de la entidad fiscalizable, en la que se mencione el uso y destino que se les dará a los bienes; </w:t>
      </w:r>
    </w:p>
    <w:p w:rsidR="00401686" w:rsidRDefault="00401686" w:rsidP="00401686">
      <w:pPr>
        <w:ind w:left="851" w:right="902"/>
        <w:jc w:val="both"/>
        <w:rPr>
          <w:rFonts w:ascii="Palatino Linotype" w:hAnsi="Palatino Linotype"/>
          <w:i/>
          <w:sz w:val="22"/>
          <w:szCs w:val="22"/>
        </w:rPr>
      </w:pPr>
      <w:r w:rsidRPr="00BE4E40">
        <w:rPr>
          <w:rFonts w:ascii="Palatino Linotype" w:hAnsi="Palatino Linotype"/>
          <w:b/>
          <w:i/>
          <w:sz w:val="22"/>
          <w:szCs w:val="22"/>
        </w:rPr>
        <w:t>II. Estudio socioeconómico elaborado por la entidad fiscalizable municipal,</w:t>
      </w:r>
      <w:r w:rsidRPr="00BE4E40">
        <w:rPr>
          <w:rFonts w:ascii="Palatino Linotype" w:hAnsi="Palatino Linotype"/>
          <w:i/>
          <w:sz w:val="22"/>
          <w:szCs w:val="22"/>
        </w:rPr>
        <w:t xml:space="preserve"> en el que se justifique el otorgamiento del bien sujeto a donar; </w:t>
      </w:r>
    </w:p>
    <w:p w:rsidR="00401686" w:rsidRPr="00BE4E40" w:rsidRDefault="00401686" w:rsidP="00401686">
      <w:pPr>
        <w:ind w:left="851" w:right="902"/>
        <w:jc w:val="both"/>
        <w:rPr>
          <w:rFonts w:ascii="Palatino Linotype" w:hAnsi="Palatino Linotype"/>
          <w:b/>
          <w:i/>
          <w:sz w:val="22"/>
          <w:szCs w:val="22"/>
        </w:rPr>
      </w:pPr>
      <w:r w:rsidRPr="00BE4E40">
        <w:rPr>
          <w:rFonts w:ascii="Palatino Linotype" w:hAnsi="Palatino Linotype"/>
          <w:b/>
          <w:i/>
          <w:sz w:val="22"/>
          <w:szCs w:val="22"/>
        </w:rPr>
        <w:t xml:space="preserve">III. Acta administrativa firmada por el comité, que avale los bienes sujetos a ser donados; </w:t>
      </w:r>
    </w:p>
    <w:p w:rsidR="00401686" w:rsidRDefault="00401686" w:rsidP="00401686">
      <w:pPr>
        <w:ind w:left="851" w:right="902"/>
        <w:jc w:val="both"/>
        <w:rPr>
          <w:rFonts w:ascii="Palatino Linotype" w:hAnsi="Palatino Linotype"/>
          <w:i/>
          <w:sz w:val="22"/>
          <w:szCs w:val="22"/>
        </w:rPr>
      </w:pPr>
      <w:r w:rsidRPr="00BE4E40">
        <w:rPr>
          <w:rFonts w:ascii="Palatino Linotype" w:hAnsi="Palatino Linotype"/>
          <w:b/>
          <w:i/>
          <w:sz w:val="22"/>
          <w:szCs w:val="22"/>
        </w:rPr>
        <w:t>IV. Acta del órgano máximo de gobierno, en la que se autorice la baja de los bienes muebles por donación,</w:t>
      </w:r>
      <w:r w:rsidRPr="00BE4E40">
        <w:rPr>
          <w:rFonts w:ascii="Palatino Linotype" w:hAnsi="Palatino Linotype"/>
          <w:i/>
          <w:sz w:val="22"/>
          <w:szCs w:val="22"/>
        </w:rPr>
        <w:t xml:space="preserve"> mencionando los motivos, nombre, cantidad y características de identificación, así como el saldo que será dado de baja; </w:t>
      </w:r>
    </w:p>
    <w:p w:rsidR="00401686" w:rsidRDefault="00401686" w:rsidP="00401686">
      <w:pPr>
        <w:ind w:left="851" w:right="902"/>
        <w:jc w:val="both"/>
        <w:rPr>
          <w:rFonts w:ascii="Palatino Linotype" w:hAnsi="Palatino Linotype"/>
          <w:i/>
          <w:sz w:val="22"/>
          <w:szCs w:val="22"/>
        </w:rPr>
      </w:pPr>
      <w:r w:rsidRPr="00BE4E40">
        <w:rPr>
          <w:rFonts w:ascii="Palatino Linotype" w:hAnsi="Palatino Linotype"/>
          <w:b/>
          <w:i/>
          <w:sz w:val="22"/>
          <w:szCs w:val="22"/>
        </w:rPr>
        <w:t>V. Convenio por la donación de los bienes concedidos, especificando el total de bienes muebles,</w:t>
      </w:r>
      <w:r w:rsidRPr="00BE4E40">
        <w:rPr>
          <w:rFonts w:ascii="Palatino Linotype" w:hAnsi="Palatino Linotype"/>
          <w:i/>
          <w:sz w:val="22"/>
          <w:szCs w:val="22"/>
        </w:rPr>
        <w:t xml:space="preserve"> con sus características de identificación, incluyendo el número de inventario; </w:t>
      </w:r>
    </w:p>
    <w:p w:rsidR="00401686" w:rsidRDefault="00401686" w:rsidP="00401686">
      <w:pPr>
        <w:ind w:left="851" w:right="902"/>
        <w:jc w:val="both"/>
        <w:rPr>
          <w:rFonts w:ascii="Palatino Linotype" w:hAnsi="Palatino Linotype"/>
          <w:i/>
          <w:sz w:val="22"/>
          <w:szCs w:val="22"/>
        </w:rPr>
      </w:pPr>
      <w:r w:rsidRPr="00BE4E40">
        <w:rPr>
          <w:rFonts w:ascii="Palatino Linotype" w:hAnsi="Palatino Linotype"/>
          <w:b/>
          <w:i/>
          <w:sz w:val="22"/>
          <w:szCs w:val="22"/>
        </w:rPr>
        <w:t>VI. Carta de agradecimiento suscrita por los beneficiados, dirigida al titular de la entidad fiscalizable, en la que se haga constar la recepción de los mismos,</w:t>
      </w:r>
      <w:r w:rsidRPr="00BE4E40">
        <w:rPr>
          <w:rFonts w:ascii="Palatino Linotype" w:hAnsi="Palatino Linotype"/>
          <w:i/>
          <w:sz w:val="22"/>
          <w:szCs w:val="22"/>
        </w:rPr>
        <w:t xml:space="preserve"> así como fotocopia de su identificación, domicilio particular y demás datos necesarios para su localización; </w:t>
      </w:r>
    </w:p>
    <w:p w:rsidR="00401686" w:rsidRDefault="00401686" w:rsidP="00401686">
      <w:pPr>
        <w:ind w:left="851" w:right="902"/>
        <w:jc w:val="both"/>
        <w:rPr>
          <w:rFonts w:ascii="Palatino Linotype" w:hAnsi="Palatino Linotype"/>
          <w:i/>
          <w:sz w:val="22"/>
          <w:szCs w:val="22"/>
        </w:rPr>
      </w:pPr>
      <w:r w:rsidRPr="00BE4E40">
        <w:rPr>
          <w:rFonts w:ascii="Palatino Linotype" w:hAnsi="Palatino Linotype"/>
          <w:b/>
          <w:i/>
          <w:sz w:val="22"/>
          <w:szCs w:val="22"/>
        </w:rPr>
        <w:t>VII. Registro en el inventario y en el libro especial</w:t>
      </w:r>
      <w:r w:rsidRPr="00BE4E40">
        <w:rPr>
          <w:rFonts w:ascii="Palatino Linotype" w:hAnsi="Palatino Linotype"/>
          <w:i/>
          <w:sz w:val="22"/>
          <w:szCs w:val="22"/>
        </w:rPr>
        <w:t xml:space="preserve">; y </w:t>
      </w:r>
    </w:p>
    <w:p w:rsidR="00401686" w:rsidRPr="00BE4E40" w:rsidRDefault="00401686" w:rsidP="00401686">
      <w:pPr>
        <w:ind w:left="851" w:right="902"/>
        <w:jc w:val="both"/>
        <w:rPr>
          <w:rFonts w:ascii="Palatino Linotype" w:hAnsi="Palatino Linotype"/>
          <w:b/>
          <w:i/>
          <w:sz w:val="22"/>
          <w:szCs w:val="22"/>
        </w:rPr>
      </w:pPr>
      <w:r w:rsidRPr="00BE4E40">
        <w:rPr>
          <w:rFonts w:ascii="Palatino Linotype" w:hAnsi="Palatino Linotype"/>
          <w:b/>
          <w:i/>
          <w:sz w:val="22"/>
          <w:szCs w:val="22"/>
        </w:rPr>
        <w:t>VIII. Póliza.</w:t>
      </w:r>
      <w:r>
        <w:rPr>
          <w:rFonts w:ascii="Palatino Linotype" w:hAnsi="Palatino Linotype"/>
          <w:b/>
          <w:i/>
          <w:sz w:val="22"/>
          <w:szCs w:val="22"/>
        </w:rPr>
        <w:t>”</w:t>
      </w:r>
    </w:p>
    <w:p w:rsidR="00401686" w:rsidRDefault="00401686" w:rsidP="00401686">
      <w:pPr>
        <w:spacing w:before="100" w:beforeAutospacing="1" w:after="100" w:afterAutospacing="1" w:line="360" w:lineRule="auto"/>
        <w:jc w:val="both"/>
        <w:rPr>
          <w:rFonts w:ascii="Palatino Linotype" w:hAnsi="Palatino Linotype"/>
        </w:rPr>
      </w:pPr>
      <w:r>
        <w:rPr>
          <w:rFonts w:ascii="Palatino Linotype" w:hAnsi="Palatino Linotype"/>
        </w:rPr>
        <w:t>Así, de la normativa en cita se advierte que los Municipios cuentan con diversas formas de dar de baja los bienes muebles que formen parte de su inventario general, siendo la donación una de éstas; sin embargo, para que se pueda llevar a cabo, deben satisfacerse ciertos requisitos y de acuerdo a lo establecido en el dispositivo legal en cita.</w:t>
      </w:r>
    </w:p>
    <w:p w:rsidR="000F0319" w:rsidRDefault="000F0319" w:rsidP="000F0319">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Así, la Ponencia Resolutora debió</w:t>
      </w:r>
      <w:r w:rsidRPr="009F03BA">
        <w:rPr>
          <w:rFonts w:ascii="Palatino Linotype" w:hAnsi="Palatino Linotype" w:cs="Arial"/>
        </w:rPr>
        <w:t xml:space="preserve"> en</w:t>
      </w:r>
      <w:r>
        <w:rPr>
          <w:rFonts w:ascii="Palatino Linotype" w:hAnsi="Palatino Linotype" w:cs="Arial"/>
        </w:rPr>
        <w:t xml:space="preserve"> cumplimiento a los principios que rigen el actuar de este Órgano Garante establecidos en los artícu</w:t>
      </w:r>
      <w:r w:rsidRPr="009C5FF5">
        <w:rPr>
          <w:rFonts w:ascii="Palatino Linotype" w:hAnsi="Palatino Linotype" w:cs="Arial"/>
        </w:rPr>
        <w:t>los</w:t>
      </w:r>
      <w:r>
        <w:rPr>
          <w:rFonts w:ascii="Palatino Linotype" w:hAnsi="Palatino Linotype" w:cs="Arial"/>
        </w:rPr>
        <w:t xml:space="preserve"> 4 y 9, fracciones I, VII y VIII </w:t>
      </w:r>
      <w:r w:rsidRPr="009C5FF5">
        <w:rPr>
          <w:rFonts w:ascii="Palatino Linotype" w:hAnsi="Palatino Linotype" w:cs="Arial"/>
        </w:rPr>
        <w:t>de la Ley de Transpar</w:t>
      </w:r>
      <w:r>
        <w:rPr>
          <w:rFonts w:ascii="Palatino Linotype" w:hAnsi="Palatino Linotype" w:cs="Arial"/>
        </w:rPr>
        <w:t>encia y 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lica del Estado de México y</w:t>
      </w:r>
      <w:r>
        <w:rPr>
          <w:rFonts w:ascii="Palatino Linotype" w:hAnsi="Palatino Linotype" w:cs="Arial"/>
        </w:rPr>
        <w:t xml:space="preserve"> </w:t>
      </w:r>
      <w:r w:rsidRPr="009C5FF5">
        <w:rPr>
          <w:rFonts w:ascii="Palatino Linotype" w:hAnsi="Palatino Linotype" w:cs="Arial"/>
        </w:rPr>
        <w:lastRenderedPageBreak/>
        <w:t xml:space="preserve">Municipios, </w:t>
      </w:r>
      <w:r>
        <w:rPr>
          <w:rFonts w:ascii="Palatino Linotype" w:hAnsi="Palatino Linotype" w:cs="Arial"/>
        </w:rPr>
        <w:t xml:space="preserve">ordenar la entrega de la información solicitada al 14 de marzo de 2018, pues dicha temporalidad colma el derecho de acceso a la información del hoy </w:t>
      </w:r>
      <w:r>
        <w:rPr>
          <w:rFonts w:ascii="Palatino Linotype" w:hAnsi="Palatino Linotype" w:cs="Arial"/>
          <w:b/>
        </w:rPr>
        <w:t xml:space="preserve">RECURRENTE, </w:t>
      </w:r>
      <w:r>
        <w:rPr>
          <w:rFonts w:ascii="Palatino Linotype" w:hAnsi="Palatino Linotype" w:cs="Arial"/>
        </w:rPr>
        <w:t xml:space="preserve">dando cumplimiento a </w:t>
      </w:r>
      <w:r w:rsidRPr="009C5FF5">
        <w:rPr>
          <w:rFonts w:ascii="Palatino Linotype" w:hAnsi="Palatino Linotype" w:cs="Arial"/>
        </w:rPr>
        <w:t xml:space="preserve">los principios de </w:t>
      </w:r>
      <w:r>
        <w:rPr>
          <w:rFonts w:ascii="Palatino Linotype" w:hAnsi="Palatino Linotype" w:cs="Arial"/>
        </w:rPr>
        <w:t xml:space="preserve">certeza jurídica, </w:t>
      </w:r>
      <w:r w:rsidRPr="009C5FF5">
        <w:rPr>
          <w:rFonts w:ascii="Palatino Linotype" w:hAnsi="Palatino Linotype" w:cs="Arial"/>
        </w:rPr>
        <w:t>máxima publicidad</w:t>
      </w:r>
      <w:r>
        <w:rPr>
          <w:rFonts w:ascii="Palatino Linotype" w:hAnsi="Palatino Linotype" w:cs="Arial"/>
        </w:rPr>
        <w:t xml:space="preserve"> </w:t>
      </w:r>
      <w:r w:rsidRPr="009C5FF5">
        <w:rPr>
          <w:rFonts w:ascii="Palatino Linotype" w:hAnsi="Palatino Linotype" w:cs="Arial"/>
        </w:rPr>
        <w:t xml:space="preserve">y </w:t>
      </w:r>
      <w:r>
        <w:rPr>
          <w:rFonts w:ascii="Palatino Linotype" w:hAnsi="Palatino Linotype" w:cs="Arial"/>
        </w:rPr>
        <w:t>objetividad que se trascriben a continuación:</w:t>
      </w:r>
    </w:p>
    <w:p w:rsidR="000F0319" w:rsidRPr="00444E6E" w:rsidRDefault="000F0319" w:rsidP="000F0319">
      <w:pPr>
        <w:ind w:left="709" w:right="1038"/>
        <w:jc w:val="both"/>
        <w:rPr>
          <w:rFonts w:ascii="Palatino Linotype" w:hAnsi="Palatino Linotype" w:cs="Arial"/>
          <w:bCs/>
          <w:i/>
          <w:sz w:val="22"/>
        </w:rPr>
      </w:pP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0F0319" w:rsidRDefault="000F0319" w:rsidP="000F0319">
      <w:pPr>
        <w:ind w:left="709" w:right="1038"/>
        <w:jc w:val="both"/>
        <w:rPr>
          <w:rFonts w:ascii="Palatino Linotype" w:hAnsi="Palatino Linotype" w:cs="Arial"/>
          <w:bCs/>
          <w:i/>
          <w:sz w:val="22"/>
        </w:rPr>
      </w:pPr>
      <w:r w:rsidRPr="00AE1F11">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AE1F11">
        <w:rPr>
          <w:rFonts w:ascii="Palatino Linotype" w:hAnsi="Palatino Linotype" w:cs="Arial"/>
          <w:bCs/>
          <w:i/>
          <w:sz w:val="22"/>
        </w:rPr>
        <w:t>,</w:t>
      </w:r>
      <w:r w:rsidRPr="00444E6E">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AE1F11">
        <w:rPr>
          <w:rFonts w:ascii="Palatino Linotype" w:hAnsi="Palatino Linotype" w:cs="Arial"/>
          <w:b/>
          <w:bCs/>
          <w:i/>
          <w:sz w:val="22"/>
        </w:rPr>
        <w:t>privilegiando el principio de máxima publicidad</w:t>
      </w:r>
      <w:r w:rsidRPr="00AE1F11">
        <w:rPr>
          <w:rFonts w:ascii="Palatino Linotype" w:hAnsi="Palatino Linotype" w:cs="Arial"/>
          <w:bCs/>
          <w:i/>
          <w:sz w:val="22"/>
        </w:rPr>
        <w:t xml:space="preserve"> </w:t>
      </w:r>
      <w:r w:rsidRPr="00444E6E">
        <w:rPr>
          <w:rFonts w:ascii="Palatino Linotype" w:hAnsi="Palatino Linotype" w:cs="Arial"/>
          <w:bCs/>
          <w:i/>
          <w:sz w:val="22"/>
        </w:rPr>
        <w:t xml:space="preserve">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401686" w:rsidRDefault="00401686" w:rsidP="000F0319">
      <w:pPr>
        <w:ind w:left="709" w:right="1038"/>
        <w:jc w:val="both"/>
        <w:rPr>
          <w:rFonts w:ascii="Palatino Linotype" w:hAnsi="Palatino Linotype" w:cs="Arial"/>
          <w:bCs/>
          <w:i/>
          <w:sz w:val="22"/>
        </w:rPr>
      </w:pPr>
    </w:p>
    <w:p w:rsidR="000F0319" w:rsidRDefault="000F0319" w:rsidP="000F0319">
      <w:pPr>
        <w:ind w:left="709" w:right="1038"/>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401686" w:rsidRDefault="00401686" w:rsidP="000F0319">
      <w:pPr>
        <w:ind w:left="709" w:right="1038"/>
        <w:jc w:val="both"/>
        <w:rPr>
          <w:rFonts w:ascii="Palatino Linotype" w:hAnsi="Palatino Linotype" w:cs="Arial"/>
          <w:b/>
          <w:bCs/>
          <w:i/>
          <w:sz w:val="22"/>
        </w:rPr>
      </w:pPr>
    </w:p>
    <w:p w:rsidR="000F0319" w:rsidRDefault="000F0319" w:rsidP="000F0319">
      <w:pPr>
        <w:ind w:left="709" w:right="1038"/>
        <w:jc w:val="both"/>
        <w:rPr>
          <w:rFonts w:ascii="Palatino Linotype" w:hAnsi="Palatino Linotype" w:cs="Arial"/>
          <w:b/>
          <w:bCs/>
          <w:i/>
          <w:sz w:val="22"/>
        </w:rPr>
      </w:pPr>
      <w:r w:rsidRPr="0027180A">
        <w:rPr>
          <w:rFonts w:ascii="Palatino Linotype" w:hAnsi="Palatino Linotype" w:cs="Arial"/>
          <w:b/>
          <w:bCs/>
          <w:i/>
          <w:sz w:val="22"/>
        </w:rPr>
        <w:t xml:space="preserve">Artículo 9. </w:t>
      </w:r>
      <w:r w:rsidRPr="00AE1F11">
        <w:rPr>
          <w:rFonts w:ascii="Palatino Linotype" w:hAnsi="Palatino Linotype" w:cs="Arial"/>
          <w:b/>
          <w:bCs/>
          <w:i/>
          <w:sz w:val="22"/>
        </w:rPr>
        <w:t>El Instituto deberá regir su funcionamiento de acuerdo a los siguientes principios:</w:t>
      </w:r>
    </w:p>
    <w:p w:rsidR="00401686" w:rsidRPr="00AE1F11" w:rsidRDefault="00401686" w:rsidP="000F0319">
      <w:pPr>
        <w:ind w:left="709" w:right="1038"/>
        <w:jc w:val="both"/>
        <w:rPr>
          <w:rFonts w:ascii="Palatino Linotype" w:hAnsi="Palatino Linotype" w:cs="Arial"/>
          <w:b/>
          <w:bCs/>
          <w:i/>
          <w:sz w:val="22"/>
        </w:rPr>
      </w:pPr>
    </w:p>
    <w:p w:rsidR="000F0319" w:rsidRDefault="000F0319" w:rsidP="000F0319">
      <w:pPr>
        <w:ind w:left="709" w:right="1038"/>
        <w:jc w:val="both"/>
        <w:rPr>
          <w:rFonts w:ascii="Palatino Linotype" w:hAnsi="Palatino Linotype" w:cs="Arial"/>
          <w:b/>
          <w:bCs/>
          <w:i/>
          <w:sz w:val="22"/>
        </w:rPr>
      </w:pPr>
      <w:r w:rsidRPr="006807DD">
        <w:rPr>
          <w:rFonts w:ascii="Palatino Linotype" w:hAnsi="Palatino Linotype" w:cs="Arial"/>
          <w:b/>
          <w:bCs/>
          <w:i/>
          <w:sz w:val="22"/>
        </w:rPr>
        <w:t>I. Certeza:</w:t>
      </w:r>
      <w:r w:rsidRPr="006807DD">
        <w:rPr>
          <w:rFonts w:ascii="Palatino Linotype" w:hAnsi="Palatino Linotype" w:cs="Arial"/>
          <w:bCs/>
          <w:i/>
          <w:sz w:val="22"/>
        </w:rPr>
        <w:t xml:space="preserve"> </w:t>
      </w:r>
      <w:r w:rsidRPr="006807DD">
        <w:rPr>
          <w:rFonts w:ascii="Palatino Linotype" w:hAnsi="Palatino Linotype" w:cs="Arial"/>
          <w:b/>
          <w:bCs/>
          <w:i/>
          <w:sz w:val="22"/>
        </w:rPr>
        <w:t xml:space="preserve">Principio que otorga seguridad y certidumbre jurídica a los particulares, en virtud de que permite conocer si las acciones del Instituto son apegadas a derecho y garantiza que los procedimientos sean completamente verificables, fidedignos y confiables; </w:t>
      </w:r>
    </w:p>
    <w:p w:rsidR="000F0319" w:rsidRPr="006807DD" w:rsidRDefault="000F0319" w:rsidP="000F0319">
      <w:pPr>
        <w:ind w:left="709" w:right="1038"/>
        <w:jc w:val="both"/>
        <w:rPr>
          <w:rFonts w:ascii="Palatino Linotype" w:hAnsi="Palatino Linotype" w:cs="Arial"/>
          <w:b/>
          <w:bCs/>
          <w:i/>
          <w:sz w:val="22"/>
        </w:rPr>
      </w:pPr>
      <w:r>
        <w:rPr>
          <w:rFonts w:ascii="Palatino Linotype" w:hAnsi="Palatino Linotype" w:cs="Arial"/>
          <w:b/>
          <w:bCs/>
          <w:i/>
          <w:sz w:val="22"/>
        </w:rPr>
        <w:t>…</w:t>
      </w:r>
    </w:p>
    <w:p w:rsidR="000F0319" w:rsidRDefault="000F0319" w:rsidP="000F0319">
      <w:pPr>
        <w:ind w:left="709" w:right="1038"/>
        <w:jc w:val="both"/>
        <w:rPr>
          <w:rFonts w:ascii="Palatino Linotype" w:hAnsi="Palatino Linotype" w:cs="Arial"/>
          <w:b/>
          <w:bCs/>
          <w:i/>
          <w:sz w:val="22"/>
        </w:rPr>
      </w:pPr>
      <w:r w:rsidRPr="006807DD">
        <w:rPr>
          <w:rFonts w:ascii="Palatino Linotype" w:hAnsi="Palatino Linotype" w:cs="Arial"/>
          <w:b/>
          <w:bCs/>
          <w:i/>
          <w:sz w:val="22"/>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0F0319" w:rsidRPr="006807DD" w:rsidRDefault="000F0319" w:rsidP="000F0319">
      <w:pPr>
        <w:ind w:left="709" w:right="1038"/>
        <w:jc w:val="both"/>
        <w:rPr>
          <w:rFonts w:ascii="Palatino Linotype" w:hAnsi="Palatino Linotype" w:cs="Arial"/>
          <w:b/>
          <w:bCs/>
          <w:i/>
          <w:sz w:val="22"/>
        </w:rPr>
      </w:pPr>
      <w:r w:rsidRPr="006807DD">
        <w:rPr>
          <w:rFonts w:ascii="Palatino Linotype" w:hAnsi="Palatino Linotype" w:cs="Arial"/>
          <w:b/>
          <w:bCs/>
          <w:i/>
          <w:sz w:val="22"/>
        </w:rPr>
        <w:lastRenderedPageBreak/>
        <w:t xml:space="preserve">VIII. Objetividad: Obligación del Instituto de ajustar su actuación a los presupuestos de ley que deben ser aplicados al analizar el caso en concreto y resolver todos los hechos, prescindiendo de las consideraciones y criterios personales; </w:t>
      </w:r>
    </w:p>
    <w:p w:rsidR="000F0319" w:rsidRPr="00444E6E" w:rsidRDefault="000F0319" w:rsidP="000F0319">
      <w:pPr>
        <w:ind w:left="709" w:right="1038"/>
        <w:jc w:val="both"/>
        <w:rPr>
          <w:rFonts w:ascii="Palatino Linotype" w:hAnsi="Palatino Linotype" w:cs="Arial"/>
          <w:bCs/>
          <w:i/>
          <w:sz w:val="22"/>
        </w:rPr>
      </w:pPr>
      <w:r>
        <w:rPr>
          <w:rFonts w:ascii="Palatino Linotype" w:hAnsi="Palatino Linotype" w:cs="Arial"/>
          <w:bCs/>
          <w:i/>
          <w:sz w:val="22"/>
        </w:rPr>
        <w:t>…</w:t>
      </w:r>
    </w:p>
    <w:p w:rsidR="000F0319" w:rsidRPr="00444E6E" w:rsidRDefault="000F0319" w:rsidP="000F0319">
      <w:pPr>
        <w:ind w:left="709" w:right="1038"/>
        <w:jc w:val="both"/>
        <w:rPr>
          <w:rFonts w:ascii="Palatino Linotype" w:hAnsi="Palatino Linotype" w:cs="Arial"/>
          <w:bCs/>
          <w:i/>
          <w:sz w:val="22"/>
        </w:rPr>
      </w:pPr>
      <w:r>
        <w:rPr>
          <w:rFonts w:ascii="Palatino Linotype" w:hAnsi="Palatino Linotype" w:cs="Arial"/>
          <w:bCs/>
          <w:i/>
          <w:sz w:val="22"/>
        </w:rPr>
        <w:t>(Énfasis añadido)</w:t>
      </w:r>
    </w:p>
    <w:p w:rsidR="000F0319" w:rsidRDefault="000F0319" w:rsidP="000F0319">
      <w:pPr>
        <w:spacing w:before="100" w:beforeAutospacing="1" w:after="100" w:afterAutospacing="1" w:line="360" w:lineRule="auto"/>
        <w:jc w:val="both"/>
        <w:rPr>
          <w:rFonts w:ascii="Palatino Linotype" w:hAnsi="Palatino Linotype"/>
          <w:lang w:eastAsia="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w:t>
      </w:r>
      <w:r w:rsidRPr="0090521E">
        <w:rPr>
          <w:rFonts w:ascii="Palatino Linotype" w:hAnsi="Palatino Linotype"/>
          <w:lang w:eastAsia="es-MX"/>
        </w:rPr>
        <w:t xml:space="preserve"> del</w:t>
      </w:r>
      <w:r>
        <w:rPr>
          <w:rFonts w:ascii="Palatino Linotype" w:hAnsi="Palatino Linotype"/>
          <w:lang w:eastAsia="es-MX"/>
        </w:rPr>
        <w:t xml:space="preserve"> </w:t>
      </w:r>
      <w:r w:rsidRPr="0090521E">
        <w:rPr>
          <w:rFonts w:ascii="Palatino Linotype" w:hAnsi="Palatino Linotype"/>
          <w:lang w:eastAsia="es-MX"/>
        </w:rPr>
        <w:t>Instituto Nacional de Acceso a la Información y Protección de Datos (INAI)</w:t>
      </w:r>
      <w:r>
        <w:rPr>
          <w:rFonts w:ascii="Palatino Linotype" w:hAnsi="Palatino Linotype"/>
          <w:lang w:eastAsia="es-MX"/>
        </w:rPr>
        <w:t>, que señala lo siguiente:</w:t>
      </w:r>
    </w:p>
    <w:p w:rsidR="000F0319" w:rsidRPr="00D621C2" w:rsidRDefault="000F0319" w:rsidP="000F0319">
      <w:pPr>
        <w:spacing w:before="100" w:beforeAutospacing="1" w:after="100" w:afterAutospacing="1"/>
        <w:ind w:left="709"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0F0319" w:rsidRDefault="000F0319" w:rsidP="000F0319">
      <w:pPr>
        <w:spacing w:before="100" w:beforeAutospacing="1" w:after="100" w:afterAutospacing="1"/>
        <w:ind w:left="709"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0F0319" w:rsidRDefault="000F0319" w:rsidP="000F0319">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suscribe</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Pr>
          <w:rFonts w:ascii="Palatino Linotype" w:hAnsi="Palatino Linotype" w:cs="Arial"/>
        </w:rPr>
        <w:t xml:space="preserve">lo </w:t>
      </w:r>
      <w:r w:rsidRPr="000A6958">
        <w:rPr>
          <w:rFonts w:ascii="Palatino Linotype" w:hAnsi="Palatino Linotype" w:cs="Arial"/>
        </w:rPr>
        <w:t xml:space="preserve">procedente </w:t>
      </w:r>
      <w:r>
        <w:rPr>
          <w:rFonts w:ascii="Palatino Linotype" w:hAnsi="Palatino Linotype" w:cs="Arial"/>
        </w:rPr>
        <w:t xml:space="preserve">era que la Ponencia Resolutora tanto en estudio como </w:t>
      </w:r>
      <w:r>
        <w:rPr>
          <w:rFonts w:ascii="Palatino Linotype" w:hAnsi="Palatino Linotype" w:cs="Arial"/>
        </w:rPr>
        <w:lastRenderedPageBreak/>
        <w:t xml:space="preserve">en Resolutivos ordenara la entrega del documento en donde conste o del que se pueda advertir </w:t>
      </w:r>
      <w:r>
        <w:rPr>
          <w:rFonts w:ascii="Palatino Linotype" w:hAnsi="Palatino Linotype" w:cs="Tahoma"/>
          <w:bCs/>
        </w:rPr>
        <w:t xml:space="preserve">el procedimiento para </w:t>
      </w:r>
      <w:r>
        <w:rPr>
          <w:rFonts w:ascii="Palatino Linotype" w:hAnsi="Palatino Linotype" w:cs="Arial"/>
          <w:lang w:val="es-MX"/>
        </w:rPr>
        <w:t xml:space="preserve">acceder a las donaciones de </w:t>
      </w:r>
      <w:r>
        <w:rPr>
          <w:rFonts w:ascii="Palatino Linotype" w:hAnsi="Palatino Linotype"/>
        </w:rPr>
        <w:t xml:space="preserve">libros </w:t>
      </w:r>
      <w:r w:rsidRPr="00AE32A8">
        <w:rPr>
          <w:rFonts w:ascii="Palatino Linotype" w:hAnsi="Palatino Linotype" w:cs="Tahoma"/>
          <w:bCs/>
        </w:rPr>
        <w:t xml:space="preserve">y/o material </w:t>
      </w:r>
      <w:r>
        <w:rPr>
          <w:rFonts w:ascii="Palatino Linotype" w:hAnsi="Palatino Linotype" w:cs="Tahoma"/>
          <w:bCs/>
        </w:rPr>
        <w:t>que pudiera</w:t>
      </w:r>
      <w:r w:rsidRPr="00AE32A8">
        <w:rPr>
          <w:rFonts w:ascii="Palatino Linotype" w:hAnsi="Palatino Linotype" w:cs="Tahoma"/>
          <w:bCs/>
        </w:rPr>
        <w:t xml:space="preserve"> pertenecer al acervo bibliográfico de una biblioteca</w:t>
      </w:r>
      <w:r>
        <w:rPr>
          <w:rFonts w:ascii="Palatino Linotype" w:hAnsi="Palatino Linotype" w:cs="Tahoma"/>
          <w:bCs/>
        </w:rPr>
        <w:t xml:space="preserve">, </w:t>
      </w:r>
      <w:r w:rsidRPr="000944A2">
        <w:rPr>
          <w:rFonts w:ascii="Palatino Linotype" w:hAnsi="Palatino Linotype" w:cs="Tahoma"/>
          <w:bCs/>
        </w:rPr>
        <w:t xml:space="preserve">ya sea por tratarse de material propio, inédito o de coedición y/o libros que llegara a tener en excedente </w:t>
      </w:r>
      <w:r w:rsidR="004C240F">
        <w:rPr>
          <w:rFonts w:ascii="Palatino Linotype" w:hAnsi="Palatino Linotype" w:cs="Tahoma"/>
          <w:bCs/>
        </w:rPr>
        <w:t xml:space="preserve">y el nombre del servidor público al que deben dirigirse las solicitudes de donación, </w:t>
      </w:r>
      <w:r w:rsidRPr="000944A2">
        <w:rPr>
          <w:rFonts w:ascii="Palatino Linotype" w:hAnsi="Palatino Linotype" w:cs="Tahoma"/>
          <w:bCs/>
        </w:rPr>
        <w:t>al 1</w:t>
      </w:r>
      <w:r>
        <w:rPr>
          <w:rFonts w:ascii="Palatino Linotype" w:hAnsi="Palatino Linotype" w:cs="Tahoma"/>
          <w:bCs/>
        </w:rPr>
        <w:t xml:space="preserve">4 de marzo de 2018; ello, </w:t>
      </w:r>
      <w:r>
        <w:rPr>
          <w:rFonts w:ascii="Palatino Linotype" w:hAnsi="Palatino Linotype" w:cs="Arial"/>
        </w:rPr>
        <w:t>derivado de que el requerimiento planteado por el particular se presentó en dicha fecha y a fin de ser congruentes con lo solicitado y lo que se ordena cumpliendo con los principios de certeza, máxima publicidad y objetividad, a los que ya se ha hecho referencia.</w:t>
      </w:r>
    </w:p>
    <w:p w:rsidR="00401686" w:rsidRDefault="00401686" w:rsidP="000F0319">
      <w:pPr>
        <w:spacing w:before="100" w:beforeAutospacing="1" w:after="100" w:afterAutospacing="1" w:line="360" w:lineRule="auto"/>
        <w:jc w:val="both"/>
        <w:rPr>
          <w:rFonts w:ascii="Palatino Linotype" w:hAnsi="Palatino Linotype" w:cs="Arial"/>
        </w:rPr>
      </w:pPr>
    </w:p>
    <w:p w:rsidR="00036B8A" w:rsidRPr="000944A2" w:rsidRDefault="00036B8A" w:rsidP="000F0319">
      <w:pPr>
        <w:spacing w:before="100" w:beforeAutospacing="1" w:after="100" w:afterAutospacing="1" w:line="360" w:lineRule="auto"/>
        <w:jc w:val="both"/>
        <w:rPr>
          <w:rFonts w:ascii="Palatino Linotype" w:hAnsi="Palatino Linotype" w:cs="Tahoma"/>
          <w:bCs/>
        </w:rPr>
      </w:pPr>
    </w:p>
    <w:tbl>
      <w:tblPr>
        <w:tblW w:w="4393" w:type="dxa"/>
        <w:jc w:val="center"/>
        <w:tblLayout w:type="fixed"/>
        <w:tblLook w:val="04A0" w:firstRow="1" w:lastRow="0" w:firstColumn="1" w:lastColumn="0" w:noHBand="0" w:noVBand="1"/>
      </w:tblPr>
      <w:tblGrid>
        <w:gridCol w:w="4393"/>
      </w:tblGrid>
      <w:tr w:rsidR="000F0319" w:rsidRPr="001950C9" w:rsidTr="001B4758">
        <w:trPr>
          <w:jc w:val="center"/>
        </w:trPr>
        <w:tc>
          <w:tcPr>
            <w:tcW w:w="4393" w:type="dxa"/>
          </w:tcPr>
          <w:p w:rsidR="000F0319" w:rsidRPr="001950C9" w:rsidRDefault="000F0319" w:rsidP="001B4758">
            <w:pPr>
              <w:jc w:val="center"/>
              <w:rPr>
                <w:rFonts w:ascii="Palatino Linotype" w:hAnsi="Palatino Linotype"/>
                <w:b/>
              </w:rPr>
            </w:pPr>
            <w:r w:rsidRPr="001950C9">
              <w:rPr>
                <w:rFonts w:ascii="Palatino Linotype" w:hAnsi="Palatino Linotype"/>
                <w:b/>
              </w:rPr>
              <w:t>EVA ABAID YAPUR</w:t>
            </w:r>
          </w:p>
          <w:p w:rsidR="000F0319" w:rsidRDefault="000F0319" w:rsidP="00036B8A">
            <w:pPr>
              <w:jc w:val="center"/>
              <w:rPr>
                <w:rFonts w:ascii="Palatino Linotype" w:hAnsi="Palatino Linotype"/>
                <w:b/>
              </w:rPr>
            </w:pPr>
            <w:r w:rsidRPr="001950C9">
              <w:rPr>
                <w:rFonts w:ascii="Palatino Linotype" w:hAnsi="Palatino Linotype"/>
                <w:b/>
              </w:rPr>
              <w:t>COMISIONADA</w:t>
            </w:r>
          </w:p>
          <w:p w:rsidR="00330AE3" w:rsidRPr="001950C9" w:rsidRDefault="00330AE3" w:rsidP="00036B8A">
            <w:pPr>
              <w:jc w:val="center"/>
              <w:rPr>
                <w:rFonts w:ascii="Palatino Linotype" w:hAnsi="Palatino Linotype"/>
                <w:b/>
              </w:rPr>
            </w:pPr>
            <w:r>
              <w:rPr>
                <w:rFonts w:ascii="Palatino Linotype" w:hAnsi="Palatino Linotype"/>
                <w:b/>
              </w:rPr>
              <w:t>(RÚBRICA)</w:t>
            </w:r>
          </w:p>
        </w:tc>
      </w:tr>
    </w:tbl>
    <w:p w:rsidR="000F0319" w:rsidRDefault="000F0319" w:rsidP="000F0319">
      <w:pPr>
        <w:spacing w:before="100" w:beforeAutospacing="1" w:after="100" w:afterAutospacing="1" w:line="360" w:lineRule="auto"/>
        <w:jc w:val="both"/>
        <w:rPr>
          <w:rFonts w:ascii="Palatino Linotype" w:eastAsia="Calibri" w:hAnsi="Palatino Linotype" w:cs="Arial"/>
          <w:color w:val="000000" w:themeColor="text1"/>
          <w:sz w:val="20"/>
          <w:szCs w:val="20"/>
        </w:rPr>
      </w:pPr>
      <w:bookmarkStart w:id="0" w:name="_GoBack"/>
      <w:bookmarkEnd w:id="0"/>
    </w:p>
    <w:p w:rsidR="000F0319" w:rsidRDefault="000F0319" w:rsidP="00036B8A">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Pr>
          <w:rFonts w:ascii="Palatino Linotype" w:eastAsia="Calibri" w:hAnsi="Palatino Linotype" w:cs="Arial"/>
          <w:color w:val="000000" w:themeColor="text1"/>
          <w:sz w:val="20"/>
          <w:szCs w:val="20"/>
        </w:rPr>
        <w:t>4</w:t>
      </w:r>
      <w:r w:rsidR="00401686">
        <w:rPr>
          <w:rFonts w:ascii="Palatino Linotype" w:eastAsia="Calibri" w:hAnsi="Palatino Linotype" w:cs="Arial"/>
          <w:color w:val="000000" w:themeColor="text1"/>
          <w:sz w:val="20"/>
          <w:szCs w:val="20"/>
        </w:rPr>
        <w:t>6</w:t>
      </w:r>
      <w:r>
        <w:rPr>
          <w:rFonts w:ascii="Palatino Linotype" w:eastAsia="Calibri" w:hAnsi="Palatino Linotype" w:cs="Arial"/>
          <w:color w:val="000000" w:themeColor="text1"/>
          <w:sz w:val="20"/>
          <w:szCs w:val="20"/>
        </w:rPr>
        <w:t>0</w:t>
      </w:r>
      <w:r w:rsidR="00401686">
        <w:rPr>
          <w:rFonts w:ascii="Palatino Linotype" w:eastAsia="Calibri" w:hAnsi="Palatino Linotype" w:cs="Arial"/>
          <w:color w:val="000000" w:themeColor="text1"/>
          <w:sz w:val="20"/>
          <w:szCs w:val="20"/>
        </w:rPr>
        <w:t>5</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veintisiete de febrero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036B8A" w:rsidRPr="00036B8A" w:rsidRDefault="00036B8A" w:rsidP="00036B8A">
      <w:pPr>
        <w:jc w:val="both"/>
        <w:rPr>
          <w:rFonts w:ascii="Palatino Linotype" w:eastAsia="Calibri" w:hAnsi="Palatino Linotype" w:cs="Arial"/>
          <w:color w:val="000000" w:themeColor="text1"/>
          <w:sz w:val="8"/>
          <w:szCs w:val="8"/>
        </w:rPr>
      </w:pPr>
    </w:p>
    <w:p w:rsidR="000F0319" w:rsidRPr="00036B8A" w:rsidRDefault="000F0319" w:rsidP="00036B8A">
      <w:pPr>
        <w:jc w:val="both"/>
        <w:rPr>
          <w:sz w:val="20"/>
          <w:szCs w:val="20"/>
        </w:rPr>
      </w:pPr>
      <w:r w:rsidRPr="00036B8A">
        <w:rPr>
          <w:rFonts w:ascii="Palatino Linotype" w:eastAsia="Calibri" w:hAnsi="Palatino Linotype" w:cs="Arial"/>
          <w:color w:val="000000" w:themeColor="text1"/>
          <w:sz w:val="20"/>
          <w:szCs w:val="20"/>
        </w:rPr>
        <w:t>YSM/AMV</w:t>
      </w:r>
    </w:p>
    <w:sectPr w:rsidR="000F0319" w:rsidRPr="00036B8A"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BBB" w:rsidRDefault="00493BBB" w:rsidP="000F0319">
      <w:r>
        <w:separator/>
      </w:r>
    </w:p>
  </w:endnote>
  <w:endnote w:type="continuationSeparator" w:id="0">
    <w:p w:rsidR="00493BBB" w:rsidRDefault="00493BBB" w:rsidP="000F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30AE3" w:rsidP="00DC5C4E">
    <w:pPr>
      <w:pStyle w:val="Piedepgina"/>
      <w:tabs>
        <w:tab w:val="clear" w:pos="4252"/>
        <w:tab w:val="left" w:pos="4228"/>
      </w:tabs>
      <w:rPr>
        <w:rFonts w:ascii="Palatino Linotype" w:hAnsi="Palatino Linotype" w:cs="Arial"/>
        <w:b/>
        <w:bCs/>
        <w:sz w:val="20"/>
        <w:szCs w:val="20"/>
      </w:rPr>
    </w:pPr>
  </w:p>
  <w:p w:rsidR="00F436AF" w:rsidRDefault="00330AE3" w:rsidP="00DC5C4E">
    <w:pPr>
      <w:pStyle w:val="Piedepgina"/>
      <w:tabs>
        <w:tab w:val="clear" w:pos="4252"/>
        <w:tab w:val="left" w:pos="4228"/>
      </w:tabs>
      <w:rPr>
        <w:rFonts w:ascii="Palatino Linotype" w:hAnsi="Palatino Linotype" w:cs="Arial"/>
        <w:b/>
        <w:bCs/>
        <w:sz w:val="20"/>
        <w:szCs w:val="20"/>
      </w:rPr>
    </w:pPr>
  </w:p>
  <w:p w:rsidR="005C7C8F" w:rsidRDefault="00330AE3" w:rsidP="00DC5C4E">
    <w:pPr>
      <w:pStyle w:val="Piedepgina"/>
      <w:tabs>
        <w:tab w:val="clear" w:pos="4252"/>
        <w:tab w:val="left" w:pos="4228"/>
      </w:tabs>
      <w:rPr>
        <w:rFonts w:ascii="Palatino Linotype" w:hAnsi="Palatino Linotype" w:cs="Arial"/>
        <w:b/>
        <w:bCs/>
        <w:sz w:val="20"/>
        <w:szCs w:val="20"/>
      </w:rPr>
    </w:pPr>
  </w:p>
  <w:p w:rsidR="005C7C8F" w:rsidRDefault="00330AE3" w:rsidP="00DC5C4E">
    <w:pPr>
      <w:pStyle w:val="Piedepgina"/>
      <w:tabs>
        <w:tab w:val="clear" w:pos="4252"/>
        <w:tab w:val="left" w:pos="4228"/>
      </w:tabs>
      <w:rPr>
        <w:rFonts w:ascii="Palatino Linotype" w:hAnsi="Palatino Linotype" w:cs="Arial"/>
        <w:b/>
        <w:bCs/>
        <w:sz w:val="20"/>
        <w:szCs w:val="20"/>
      </w:rPr>
    </w:pPr>
  </w:p>
  <w:p w:rsidR="005C7C8F" w:rsidRDefault="00330AE3" w:rsidP="00DC5C4E">
    <w:pPr>
      <w:pStyle w:val="Piedepgina"/>
      <w:rPr>
        <w:rFonts w:ascii="Palatino Linotype" w:hAnsi="Palatino Linotype" w:cs="Arial"/>
        <w:b/>
        <w:bCs/>
        <w:sz w:val="20"/>
        <w:szCs w:val="20"/>
      </w:rPr>
    </w:pPr>
  </w:p>
  <w:p w:rsidR="005C7C8F" w:rsidRPr="00F12350" w:rsidRDefault="00A9193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30AE3">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30AE3">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330AE3"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BBB" w:rsidRDefault="00493BBB" w:rsidP="000F0319">
      <w:r>
        <w:separator/>
      </w:r>
    </w:p>
  </w:footnote>
  <w:footnote w:type="continuationSeparator" w:id="0">
    <w:p w:rsidR="00493BBB" w:rsidRDefault="00493BBB" w:rsidP="000F0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30A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5A" w:rsidRDefault="00A9193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0F2B3A0" wp14:editId="59E1DE09">
          <wp:simplePos x="0" y="0"/>
          <wp:positionH relativeFrom="column">
            <wp:posOffset>-679326</wp:posOffset>
          </wp:positionH>
          <wp:positionV relativeFrom="paragraph">
            <wp:posOffset>-450520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330AE3" w:rsidP="00DC5C4E">
    <w:pPr>
      <w:pStyle w:val="Encabezado"/>
      <w:tabs>
        <w:tab w:val="clear" w:pos="4252"/>
        <w:tab w:val="clear" w:pos="8504"/>
        <w:tab w:val="left" w:pos="2326"/>
      </w:tabs>
      <w:jc w:val="right"/>
    </w:pPr>
  </w:p>
  <w:p w:rsidR="005C7C8F" w:rsidRDefault="00A9193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A91938"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F0319">
      <w:rPr>
        <w:rFonts w:ascii="Palatino Linotype" w:hAnsi="Palatino Linotype" w:cs="Arial"/>
        <w:sz w:val="20"/>
        <w:szCs w:val="20"/>
      </w:rPr>
      <w:t>04605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986F5A" w:rsidRDefault="00330AE3"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0.0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30A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C6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585255"/>
    <w:multiLevelType w:val="hybridMultilevel"/>
    <w:tmpl w:val="543E2A22"/>
    <w:lvl w:ilvl="0" w:tplc="72386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C9C50CB"/>
    <w:multiLevelType w:val="hybridMultilevel"/>
    <w:tmpl w:val="91B0A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9"/>
    <w:rsid w:val="00036B8A"/>
    <w:rsid w:val="000F0319"/>
    <w:rsid w:val="00330AE3"/>
    <w:rsid w:val="00401686"/>
    <w:rsid w:val="00493BBB"/>
    <w:rsid w:val="004C240F"/>
    <w:rsid w:val="006D2CAC"/>
    <w:rsid w:val="00A91938"/>
    <w:rsid w:val="00C23B43"/>
    <w:rsid w:val="00C9714C"/>
    <w:rsid w:val="00D13D52"/>
    <w:rsid w:val="00E6544C"/>
    <w:rsid w:val="00F351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FB21788-7D2C-4998-9054-15EF4D9A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3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031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F0319"/>
    <w:rPr>
      <w:rFonts w:eastAsiaTheme="minorEastAsia"/>
      <w:sz w:val="24"/>
      <w:szCs w:val="24"/>
      <w:lang w:val="es-ES_tradnl" w:eastAsia="es-ES"/>
    </w:rPr>
  </w:style>
  <w:style w:type="paragraph" w:styleId="Piedepgina">
    <w:name w:val="footer"/>
    <w:basedOn w:val="Normal"/>
    <w:link w:val="PiedepginaCar"/>
    <w:uiPriority w:val="99"/>
    <w:unhideWhenUsed/>
    <w:rsid w:val="000F031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F031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0319"/>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0319"/>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4016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168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2066</Words>
  <Characters>11365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2019-03-05T19:34:00Z</cp:lastPrinted>
  <dcterms:created xsi:type="dcterms:W3CDTF">2019-03-01T02:21:00Z</dcterms:created>
  <dcterms:modified xsi:type="dcterms:W3CDTF">2019-03-15T01:00:00Z</dcterms:modified>
</cp:coreProperties>
</file>